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06F087CC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4965E39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7A984A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D51D8C0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:rsidR="006B4A19" w:rsidRPr="00132044" w:rsidP="008558C9" w14:paraId="37F5036F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4D91905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645A48D8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6A9630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5B4803B7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4C3621D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697DC3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AE6D56A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386CF7" w14:paraId="5495EAEB" w14:textId="65A4C604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어린이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페이셜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크림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:rsidR="006B4A19" w:rsidRPr="00132044" w:rsidP="008558C9" w14:paraId="1662280B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8558C9" w14:paraId="4EA6EC56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386CF7" w14:paraId="74C57DE0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xxxxxxxxxxxxxxxx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:rsidR="006B4A19" w:rsidRPr="00DD738C" w:rsidP="00386CF7" w14:paraId="577AE406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 가 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</w:t>
      </w:r>
    </w:p>
    <w:p w:rsidR="006B4A19" w:rsidRPr="00132044" w:rsidP="00386CF7" w14:paraId="208A9884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2024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0009CDB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326473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3E87D3DE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8F1950" w:rsidP="008558C9" w14:paraId="7BD7B192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8"/>
          <w:szCs w:val="28"/>
        </w:rPr>
      </w:pPr>
      <w:r w:rsidRPr="008F1950">
        <w:rPr>
          <w:rFonts w:asciiTheme="minorEastAsia" w:hAnsiTheme="minorEastAsia" w:cs="굴림" w:hint="eastAsia"/>
          <w:color w:val="000000"/>
          <w:kern w:val="0"/>
          <w:sz w:val="28"/>
          <w:szCs w:val="28"/>
        </w:rPr>
        <w:t>목차</w:t>
      </w:r>
    </w:p>
    <w:p w:rsidR="006B4A19" w:rsidRPr="00132044" w:rsidP="008558C9" w14:paraId="1CC4386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EB5C0A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</w:p>
    <w:p w:rsidR="006B4A19" w:rsidRPr="00132044" w:rsidP="008558C9" w14:paraId="0DADC28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</w:p>
    <w:p w:rsidR="006B4A19" w:rsidP="008558C9" w14:paraId="5E0D9847" w14:textId="11095FCE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</w:t>
      </w:r>
    </w:p>
    <w:p w:rsidR="006B4A19" w:rsidRPr="00132044" w:rsidP="008558C9" w14:paraId="4A97BBB3" w14:textId="2181486C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4.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10D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설계 원칙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</w:t>
      </w:r>
    </w:p>
    <w:p w:rsidR="006B4A19" w:rsidRPr="00132044" w:rsidP="008558C9" w14:paraId="3A08AF0C" w14:textId="38C463CE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</w:t>
      </w:r>
    </w:p>
    <w:p w:rsidR="006B4A19" w:rsidRPr="00132044" w:rsidP="008558C9" w14:paraId="7A304436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6</w:t>
      </w:r>
    </w:p>
    <w:p w:rsidR="006B4A19" w:rsidRPr="00132044" w:rsidP="008558C9" w14:paraId="28B5B831" w14:textId="5735ABA9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</w:p>
    <w:p w:rsidR="006B4A19" w:rsidRPr="00132044" w:rsidP="008558C9" w14:paraId="5E67EAEB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7</w:t>
      </w:r>
    </w:p>
    <w:p w:rsidR="006B4A19" w:rsidRPr="00132044" w:rsidP="008558C9" w14:paraId="53AC1F46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</w:p>
    <w:p w:rsidR="006B4A19" w:rsidRPr="00132044" w:rsidP="008558C9" w14:paraId="0D389B79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</w:p>
    <w:p w:rsidR="006B4A19" w:rsidRPr="00132044" w:rsidP="008558C9" w14:paraId="4FB118AB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</w:t>
      </w:r>
    </w:p>
    <w:p w:rsidR="006B4A19" w:rsidRPr="00132044" w:rsidP="008558C9" w14:paraId="580C3C4D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</w:t>
      </w:r>
    </w:p>
    <w:p w:rsidR="006B4A19" w:rsidRPr="00132044" w:rsidP="008558C9" w14:paraId="68722A3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EC979E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257A16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46D72B9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47B0AE9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026325D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E94F4C" w:rsidP="00247238" w14:paraId="34670861" w14:textId="77777777">
      <w:pPr>
        <w:pStyle w:val="a"/>
        <w:numPr>
          <w:ilvl w:val="0"/>
          <w:numId w:val="10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E94F4C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DD738C" w:rsidP="008558C9" w14:paraId="6FB94EF9" w14:textId="620EE3A0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페이셜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크림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은 어린이가 사용하는 xx 효능이 있는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사용 후 씻어내지 않는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화장품으로 사용 시 얼굴에 바르고 매일 사용할 수 있다.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유해물질, 안정성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물, 글리세린,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코코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-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카프릴레이트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카프레이트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호호바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simmondsia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chinensis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씨드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오일, 시어버터(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butyrospermum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),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세테아릴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알코올,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소듐폴리아크릴레이트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 종 성분을 평가하였으며, 존재할 가능성이 있는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 종 위험물질에 대해 평가를 실시했다. 결과에 따르면, 해당 제품은 정상적이고 합리적이며 예측 가능한 사용 상황에서 인체 건강에 해를 끼치지 않는다.</w:t>
      </w:r>
    </w:p>
    <w:p w:rsidR="006B4A19" w:rsidRPr="00132044" w:rsidP="006B4A19" w14:paraId="33178937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2044" w:rsidP="00247238" w14:paraId="28F7C60B" w14:textId="75BCE8A0">
      <w:pPr>
        <w:numPr>
          <w:ilvl w:val="0"/>
          <w:numId w:val="1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페이셜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크림</w:t>
      </w:r>
    </w:p>
    <w:p w:rsidR="006B4A19" w:rsidRPr="00DD738C" w:rsidP="00247238" w14:paraId="44755D47" w14:textId="77777777">
      <w:pPr>
        <w:numPr>
          <w:ilvl w:val="0"/>
          <w:numId w:val="1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156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</w:t>
      </w:r>
    </w:p>
    <w:p w:rsidR="006B4A19" w:rsidRPr="00DD738C" w:rsidP="00247238" w14:paraId="658838FE" w14:textId="77777777">
      <w:pPr>
        <w:numPr>
          <w:ilvl w:val="0"/>
          <w:numId w:val="1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어린이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만3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～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만12세 포함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132044" w:rsidP="00247238" w14:paraId="35FF5E10" w14:textId="77777777">
      <w:pPr>
        <w:numPr>
          <w:ilvl w:val="0"/>
          <w:numId w:val="1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</w:p>
    <w:p w:rsidR="006B4A19" w:rsidRPr="00132044" w:rsidP="00247238" w14:paraId="20C853F8" w14:textId="77777777">
      <w:pPr>
        <w:numPr>
          <w:ilvl w:val="0"/>
          <w:numId w:val="1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</w:p>
    <w:p w:rsidR="006B4A19" w:rsidRPr="00132044" w:rsidP="00247238" w14:paraId="404A27DC" w14:textId="4753F597">
      <w:pPr>
        <w:numPr>
          <w:ilvl w:val="0"/>
          <w:numId w:val="1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DD738C" w:rsidP="008558C9" w14:paraId="77E809C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미국환경보호청(U.S. Environmental Protection Agency, EPA)이 2008년에 발표한 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어린이 노출 평가 매뉴얼</w:t>
      </w:r>
      <w:r w:rsidRPr="006151AE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표17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[3]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아기용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로션(Baby Lotion - baby use)의 매회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1.4 g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매일 사용 빈도수(2.0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151A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90번째 백분위)를 참고했다.</w:t>
      </w:r>
    </w:p>
    <w:p w:rsidR="006B4A19" w:rsidRPr="00DD738C" w:rsidP="008558C9" w14:paraId="1BCCC00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영유아(3~6세, 만 3세 포함)의 체중은 18.6kg으로 설정했으며 미국환경보호청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(U.S. Environmental Protection Agency, EPA)이 2008년에 발표한 </w:t>
      </w: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어린이 노출평가 매뉴얼</w:t>
      </w: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표8-1의 3세~6세 어린이의 평균 체중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[4]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을 참고했다. 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:rsidR="006B4A19" w:rsidRPr="00132044" w:rsidP="006B4A19" w14:paraId="18EEF1F5" w14:textId="05BC0D44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P="00156047" w14:paraId="21C506B1" w14:textId="4337A1F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F5A4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F5A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  <w:r w:rsidRPr="00A505F8">
        <w:rPr>
          <w:rFonts w:ascii="바탕" w:eastAsia="바탕" w:hAnsi="바탕" w:cs="맑은 고딕" w:hint="eastAsia"/>
          <w:sz w:val="32"/>
          <w:szCs w:val="28"/>
        </w:rPr>
        <w:t xml:space="preserve"> 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1E9E811B" w14:textId="09374BC1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2405"/>
        <w:gridCol w:w="2410"/>
        <w:gridCol w:w="1276"/>
        <w:gridCol w:w="1559"/>
        <w:gridCol w:w="1563"/>
      </w:tblGrid>
      <w:tr w14:paraId="1C2769BE" w14:textId="77777777" w:rsidTr="00C5643C">
        <w:tblPrEx>
          <w:tblW w:w="9780" w:type="dxa"/>
          <w:tblLayout w:type="fixed"/>
          <w:tblLook w:val="04A0"/>
        </w:tblPrEx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8841E0" w:rsidP="008841E0" w14:paraId="41CBA34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8841E0" w:rsidP="008841E0" w14:paraId="3C42C22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8841E0" w:rsidP="008841E0" w14:paraId="681F9F0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4A19" w:rsidRPr="008841E0" w:rsidP="008841E0" w14:paraId="202473E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8841E0" w:rsidP="008841E0" w14:paraId="317E829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8841E0" w:rsidP="008841E0" w14:paraId="5D658EE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236E8BA6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8841E0" w:rsidP="008841E0" w14:paraId="2F10583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8841E0" w:rsidP="008841E0" w14:paraId="2116218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8841E0" w:rsidP="008841E0" w14:paraId="6911448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F195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8841E0" w:rsidP="008841E0" w14:paraId="567F055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8841E0" w:rsidP="008841E0" w14:paraId="61FD0F6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8841E0" w:rsidP="008841E0" w14:paraId="4444EE1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65FC97E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8841E0" w:rsidP="00965267" w14:paraId="62F027F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3B6F09" w:rsidP="00965267" w14:paraId="323ACFB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154002F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8841E0" w:rsidP="00965267" w14:paraId="53BE82E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4EB0316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02421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58642EA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4644C4C3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B6F09" w:rsidP="00965267" w14:paraId="73C1990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3B6F09" w:rsidP="00965267" w14:paraId="65195CF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코코</w:t>
            </w:r>
            <w:r w:rsidRPr="009652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카프릴레이트</w:t>
            </w:r>
            <w:r w:rsidRPr="009652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/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카프레이트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19114B0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COCO-CAPRYLATE/CAPRATE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4777FB5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60F25AD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07512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4C93342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11109997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B6F09" w:rsidP="00965267" w14:paraId="573D4BB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3B6F09" w:rsidP="00965267" w14:paraId="658DEA3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호호바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br/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SIMMONDSIA CHINENSIS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씨드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오일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105F382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SIMMONDSIA CHINENSIS (JOJOBA) SEED OIL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2FFA8A9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39A3627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03132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4C05AED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511EA33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B6F09" w:rsidP="00965267" w14:paraId="44E0ED8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3B6F09" w:rsidP="00965267" w14:paraId="04052C5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시어버터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br/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BUTYROSPERMUM PARKII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5581AB7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BUTYROSPERMUM PARKII (SHEA) BUTTER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6A9CBD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연화제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1A231CC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04891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5013077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40146EDB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B6F09" w:rsidP="00965267" w14:paraId="1B52601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3B6F09" w:rsidP="00965267" w14:paraId="423C7F8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9652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25F675CE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7B12260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024A556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03580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78BB2F5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3FE41C3" w14:textId="77777777" w:rsidTr="00C5643C">
        <w:tblPrEx>
          <w:tblW w:w="9780" w:type="dxa"/>
          <w:tblLayout w:type="fixed"/>
          <w:tblLook w:val="04A0"/>
        </w:tblPrEx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B6F09" w:rsidP="00965267" w14:paraId="6AEDAC5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3B6F09" w:rsidP="00965267" w14:paraId="3AF944D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소듐폴리아크릴레이트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07D2F80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POLYACRYLATE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A19" w:rsidRPr="003B6F09" w:rsidP="00965267" w14:paraId="4380D03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3FBFF0D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03707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3B6F09" w:rsidP="00965267" w14:paraId="418770C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6B4A19" w:rsidRPr="00DD738C" w:rsidP="008558C9" w14:paraId="4C2D838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91C640F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3681"/>
        <w:gridCol w:w="3364"/>
        <w:gridCol w:w="2588"/>
      </w:tblGrid>
      <w:tr w14:paraId="73A77132" w14:textId="77777777" w:rsidTr="00965267">
        <w:tblPrEx>
          <w:tblW w:w="0" w:type="auto"/>
          <w:tblLook w:val="04A0"/>
        </w:tblPrEx>
        <w:trPr>
          <w:trHeight w:val="623"/>
          <w:tblHeader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450B69" w14:paraId="213750E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450B69" w14:paraId="6227129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450B69" w14:paraId="1000396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14:paraId="0D03D87E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79AE754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4D56CF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AQUA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7AC25A0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F323D1D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679524A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5FAAF99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D35420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35BC3AA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055F5B1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코코</w:t>
            </w:r>
            <w:r w:rsidRPr="009652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카프릴레이트</w:t>
            </w:r>
            <w:r w:rsidRPr="009652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/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카프레이트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635C41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COCO-CAPRYLATE/CAPRATE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47AF83B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BB69897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626E2A9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호호바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br/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SIMMONDSIA CHINENSIS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씨드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오일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765014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SIMMONDSIA CHINENSIS (JOJOBA) SEED OIL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8EDF40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99EE2F5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4708A49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시어버터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br/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BUTYROSPERMUM PARKII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19FC0A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BUTYROSPERMUM PARKII (SHEA) BUTTER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58AE813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848C68B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1F75A6A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세테아릴</w:t>
            </w:r>
            <w:r w:rsidRPr="009652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알코올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7F86F961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CETEARYL ALCOHOL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7819FE9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0CF2D13" w14:textId="77777777" w:rsidTr="00965267">
        <w:tblPrEx>
          <w:tblW w:w="0" w:type="auto"/>
          <w:tblLook w:val="04A0"/>
        </w:tblPrEx>
        <w:trPr>
          <w:trHeight w:val="567"/>
        </w:trPr>
        <w:tc>
          <w:tcPr>
            <w:tcW w:w="36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3AF5745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소듐폴리아크릴레이트</w:t>
            </w:r>
          </w:p>
        </w:tc>
        <w:tc>
          <w:tcPr>
            <w:tcW w:w="336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757C65F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SODIUM POLYACRYLATE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965267" w14:paraId="4060E8C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96526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:rsidR="006B4A19" w:rsidP="008558C9" w14:paraId="07012BB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965267" w:rsidP="006B4A19" w14:paraId="52F7B279" w14:textId="2A7CDA5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96526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설계 원칙</w:t>
      </w:r>
    </w:p>
    <w:p w:rsidR="006B4A19" w:rsidRPr="00965267" w:rsidP="00965267" w14:paraId="0386AA5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생략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194C9D" w:rsidP="006B4A19" w14:paraId="6042ACE4" w14:textId="774529B5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:rsidR="006B4A19" w:rsidP="00CD208A" w14:paraId="78EF915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6526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1번 원료: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물, 본 제품에 사용된 물은 국가 음용수 표준에 부합하여 안전성 위험이 없다.</w:t>
      </w:r>
    </w:p>
    <w:p w:rsidR="006B4A19" w:rsidRPr="00CD208A" w:rsidP="00CD208A" w14:paraId="19A8F4F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2번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물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코카미도프로필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베타인,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</w:t>
      </w:r>
      <w:r w:rsidRPr="00AA3BA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클로라이드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벤조산나트륨의</w:t>
      </w:r>
      <w:r w:rsidRPr="00AA3BA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혼합물</w:t>
      </w:r>
    </w:p>
    <w:p w:rsidR="006B4A19" w:rsidRPr="00965267" w:rsidP="00CD208A" w14:paraId="01CA0FD5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65267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2번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글리세린, 미국 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화장품원료검토위원회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(CIR) 평가 결과에 따르면 농도가 21% 이하일 경우 해당 원료는 영아 제품(Baby products)에 사용해도 안전하다</w:t>
      </w:r>
      <w:r w:rsidRPr="00965267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5</w:t>
      </w:r>
      <w:r w:rsidRPr="00965267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96526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xx%로 본 제품에서 적용 위험은 허용 가능한 범위 내에 있다.</w:t>
      </w:r>
    </w:p>
    <w:p w:rsidR="006B4A19" w:rsidP="00CD208A" w14:paraId="3FCE1407" w14:textId="3878422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3번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코코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-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카프릴레이트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카프레이트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CIR 평가 결과에 따르면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없고 농도가 35% 이하인 경우 해당 원료는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사용해도 안전하다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6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해당 원료의 첨가량은 xxx%이며 해당 제품의 수회 피부 자극성 시험 결과는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제품에서 해당 원료의 적용 위험은 허용 가능한 범위 내에 있다.</w:t>
      </w:r>
    </w:p>
    <w:p w:rsidR="006B4A19" w:rsidRPr="00CD208A" w:rsidP="00CD208A" w14:paraId="5FE32C7B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4번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호호바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simmondsia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chinensis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씨드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오일, CIR 평가 결과에 따르면 농도가 53% 이하일 경우 해당 원료는 얼굴과 목 케어 제품(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Face and neck creams, lotions, powder and sprays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)에 사용해도 안전하다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7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xxx%로 본 제품에서 적용 위험은 허용 가능한 범위 내에 있다.</w:t>
      </w:r>
    </w:p>
    <w:p w:rsidR="006B4A19" w:rsidRPr="00CD208A" w:rsidP="00CD208A" w14:paraId="292E56A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5번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시어버터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butyrospermum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parkii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CIR 평가 결과에 따르면 농도가 5% 이하일 경우 해당 원료는 영아 제품에 사용해도 안전하다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8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xxx%로 본 제품에서 적용 위험은 허용 가능한 범위 내에 있다.</w:t>
      </w:r>
    </w:p>
    <w:p w:rsidR="006B4A19" w:rsidRPr="00AA3BA6" w:rsidP="00AA3BA6" w14:paraId="71BF3B0D" w14:textId="5997E242">
      <w:pPr>
        <w:adjustRightInd w:val="0"/>
        <w:snapToGrid w:val="0"/>
        <w:spacing w:line="590" w:lineRule="exact"/>
        <w:ind w:firstLine="480" w:firstLineChars="200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D350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6번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7D350A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세테아릴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알코올, CIR 평가 결과에 따르면 농도가 5% 이하일 경우 해당 원료는 영아 케어 제품인 로션, 오일, 파우더,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페이셜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크림(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b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aby products，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l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otions, oils, powders, and creams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)에 사용해도 안전하다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9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원료의 첨가량은 xxx%로 본 제품에서 적용 위험은 허용 가능한 범위 내에 있다.</w:t>
      </w:r>
    </w:p>
    <w:p w:rsidR="006B4A19" w:rsidRPr="00CD208A" w:rsidP="00CD208A" w14:paraId="504961A0" w14:textId="4092FDC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7번 원료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소듐폴리아크릴레이트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CIR 평가 결과에 따르면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없고 농도가 29.7% 이하일 경우 해당 원료는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사용해도 안전하다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10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해당 원료의 첨가량이 xxx%이고 해당 제품의 수회 피부 자극성시험 결과는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제품에서 해당 원료의 적용 위험은 허용 가능한 범위 내에 있다.</w:t>
      </w:r>
    </w:p>
    <w:p w:rsidR="006B4A19" w:rsidRPr="00CD53D6" w:rsidP="006B4A19" w14:paraId="2A33135D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:rsidR="006B4A19" w:rsidP="00CD53D6" w14:paraId="047AA145" w14:textId="7F3D4CF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위험물질식별과 평가기술 지도원칙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</w:t>
      </w:r>
    </w:p>
    <w:p w:rsidR="006B4A19" w:rsidRPr="004D0844" w:rsidP="004D0844" w14:paraId="6F89764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:rsidR="006B4A19" w:rsidRPr="004D0844" w:rsidP="00CD53D6" w14:paraId="078C8EEB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3을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8558C9" w14:paraId="36537529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3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14"/>
        <w:gridCol w:w="1428"/>
        <w:gridCol w:w="5334"/>
      </w:tblGrid>
      <w:tr w14:paraId="68F4914B" w14:textId="77777777" w:rsidTr="004D0844">
        <w:tblPrEx>
          <w:tblW w:w="9776" w:type="dxa"/>
          <w:tblLayout w:type="fixed"/>
          <w:tblLook w:val="04A0"/>
        </w:tblPrEx>
        <w:trPr>
          <w:trHeight w:val="567"/>
          <w:tblHeader/>
        </w:trPr>
        <w:tc>
          <w:tcPr>
            <w:tcW w:w="3014" w:type="dxa"/>
            <w:vAlign w:val="center"/>
          </w:tcPr>
          <w:p w:rsidR="006B4A19" w:rsidRPr="004D0844" w:rsidP="004D0844" w14:paraId="3AC26AA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표준중문명칭</w:t>
            </w:r>
          </w:p>
        </w:tc>
        <w:tc>
          <w:tcPr>
            <w:tcW w:w="1428" w:type="dxa"/>
            <w:vAlign w:val="center"/>
          </w:tcPr>
          <w:p w:rsidR="006B4A19" w:rsidRPr="004D0844" w:rsidP="004D0844" w14:paraId="4F83654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5334" w:type="dxa"/>
            <w:vAlign w:val="center"/>
          </w:tcPr>
          <w:p w:rsidR="006B4A19" w:rsidRPr="004D0844" w:rsidP="004D0844" w14:paraId="7ED2683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14:paraId="4A672CA3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4D0844" w14:paraId="0976D49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4D0844" w14:paraId="2EC5B53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4D0844" w14:paraId="71C5C01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4D0844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59AF681C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732853D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글리세린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6D2524C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D83228" w14:paraId="45013086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글라이콜에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관한 의견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14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원료 글리세린의 순도는 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9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9.5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%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이상으로 부록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을 참조한다. 본 제품 중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글라이콜이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미검출되어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(6.0mg/kg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이하，즉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0.0006%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이하) 안전성 위험이 없다. 부록1을 참조한다.</w:t>
            </w:r>
            <w:r w:rsidRPr="00F96020">
              <w:rPr>
                <w:rFonts w:ascii="바탕" w:eastAsia="바탕" w:hAnsi="바탕" w:cs="맑은 고딕" w:hint="eastAsia"/>
                <w:kern w:val="0"/>
                <w:sz w:val="24"/>
                <w:szCs w:val="21"/>
              </w:rPr>
              <w:t xml:space="preserve"> </w:t>
            </w:r>
          </w:p>
        </w:tc>
      </w:tr>
      <w:tr w14:paraId="4313AB83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3939D56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코코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-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카프릴레이트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카프레이트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7ABDE64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62391626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72C55430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64A7962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호호바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br/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SIMMONDSIA CHINENSIS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씨드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오일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0C38670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잔류농약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D83228" w14:paraId="6AD46F79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본 제품의 측정 보고서에 따르면 해당 제품에 잔류 농약 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BHC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또는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디디티가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없다. 부록1을 참조한다. </w:t>
            </w:r>
          </w:p>
        </w:tc>
      </w:tr>
      <w:tr w14:paraId="646D03E7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173BB08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시어버터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br/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BUTYROSPERMUM PARKII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67F0AF1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잔류농약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D83228" w14:paraId="177AFDF3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본 제품의 측정 보고서에 따르면 해당 제품에 잔류 농약 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BHC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또는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디디티가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없다. 부록1을 참조한다.</w:t>
            </w:r>
          </w:p>
        </w:tc>
      </w:tr>
      <w:tr w14:paraId="4FCE813E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453BB0B3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세테아릴</w:t>
            </w: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알코올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1DF69F9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19543DAB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2E9DBF7D" w14:textId="77777777" w:rsidTr="004D0844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4041033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소듐폴리아크릴레이트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1925FB3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4D0844" w:rsidP="00AF60D3" w14:paraId="61239F2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AF60D3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</w:tbl>
    <w:p w:rsidR="006B4A19" w:rsidRPr="00CD53D6" w:rsidP="008558C9" w14:paraId="74C7DED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CD53D6" w:rsidP="008558C9" w14:paraId="32BD0CC4" w14:textId="20C419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 한도</w:t>
      </w:r>
      <w:r w:rsidRPr="00AF60D3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:rsidR="006B4A19" w:rsidRPr="00132044" w:rsidP="006B4A19" w14:paraId="199F7E44" w14:textId="50C222EF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A8042D" w:rsidP="00A8042D" w14:paraId="16BBBFFC" w14:textId="6DB51A6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어린이가 사용하는 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페이셜</w:t>
      </w:r>
      <w:r w:rsidR="0064575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크림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 사용 시 얼굴에 바르고 매일 사용할 수 있다.</w:t>
      </w:r>
    </w:p>
    <w:p w:rsidR="006B4A19" w:rsidRPr="00A8042D" w:rsidP="00A8042D" w14:paraId="3BC0F2C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경고문:</w:t>
      </w:r>
    </w:p>
    <w:p w:rsidR="006B4A19" w:rsidP="00A8042D" w14:paraId="742D7F2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어른의 감독과 보호 아래 사용해야 합니다. 개인에 따라 불편감을 느낄 수 있으니 이런 경우 즉시 사용을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중지합</w:t>
      </w:r>
      <w:r w:rsidRPr="00AF60D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니다. 영유아의 손이 닿을 수 없도록 하고 직사광선을 피하여 건조한 곳에 보관합니다.</w:t>
      </w:r>
    </w:p>
    <w:p w:rsidR="006B4A19" w:rsidRPr="00132044" w:rsidP="006B4A19" w14:paraId="1074A98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8B532B" w:rsidP="008B532B" w14:paraId="669790B4" w14:textId="0706B82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 xml:space="preserve">본 제품은 </w:t>
      </w:r>
      <w:r w:rsidR="00645750">
        <w:rPr>
          <w:rFonts w:asciiTheme="minorEastAsia" w:hAnsiTheme="minorEastAsia" w:cs="굴림" w:hint="eastAsia"/>
          <w:color w:val="000000"/>
          <w:sz w:val="24"/>
          <w:szCs w:val="24"/>
        </w:rPr>
        <w:t xml:space="preserve">어린이가 사용하는 </w:t>
      </w:r>
      <w:r w:rsidR="00645750">
        <w:rPr>
          <w:rFonts w:asciiTheme="minorEastAsia" w:hAnsiTheme="minorEastAsia" w:cs="굴림" w:hint="eastAsia"/>
          <w:color w:val="000000"/>
          <w:sz w:val="24"/>
          <w:szCs w:val="24"/>
        </w:rPr>
        <w:t>페이셜</w:t>
      </w:r>
      <w:r w:rsidR="00645750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크림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(</w:t>
      </w:r>
      <w:r w:rsidR="00AC6D05">
        <w:rPr>
          <w:rFonts w:asciiTheme="minorEastAsia" w:hAnsiTheme="minorEastAsia" w:cs="굴림" w:hint="eastAsia"/>
          <w:color w:val="000000"/>
          <w:sz w:val="24"/>
          <w:szCs w:val="24"/>
        </w:rPr>
        <w:t>사용 후 씻어내지 않는 화장품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 xml:space="preserve">)으로 사용 시 얼굴에 바르고 매일 사용할 수 있다. 주요 노출 방식은 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흡수로 제품의 특성에 근거하여 본 제품의 노출 평가는 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</w:t>
      </w:r>
    </w:p>
    <w:p w:rsidR="006B4A19" w:rsidP="008B532B" w14:paraId="5F97373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AF60D3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AF60D3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AF60D3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 w:rsidRPr="00AF60D3"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:rsidR="006B4A19" w:rsidRPr="00CD53D6" w:rsidP="00247238" w14:paraId="472EDD93" w14:textId="77777777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:rsidR="006B4A19" w:rsidP="00247238" w14:paraId="6BF73601" w14:textId="77777777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:rsidR="006B4A19" w:rsidRPr="00CD53D6" w:rsidP="00247238" w14:paraId="05DFA9E5" w14:textId="26CA642F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P="00247238" w14:paraId="70856E76" w14:textId="5F2F9B02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247238" w14:paraId="49EB8E84" w14:textId="0963C16A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:rsidR="006B4A19" w:rsidRPr="00CD53D6" w:rsidP="00247238" w14:paraId="6CC73C49" w14:textId="35CA477F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:rsidR="006B4A19" w:rsidP="00247238" w14:paraId="3260B0A9" w14:textId="3BA08D8C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:rsidR="006B4A19" w:rsidRPr="00117702" w:rsidP="00247238" w14:paraId="42660BDA" w14:textId="77777777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수회 피부 자극성 시험 결과는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이며, 인체 피부 반점 시험 중 피부 부작용이 관찰되지 않았다.</w:t>
      </w:r>
    </w:p>
    <w:p w:rsidR="006B4A19" w:rsidP="00247238" w14:paraId="5FE17678" w14:textId="306D34FE">
      <w:pPr>
        <w:numPr>
          <w:ilvl w:val="0"/>
          <w:numId w:val="9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:rsidR="006B4A19" w:rsidP="008558C9" w14:paraId="678AD659" w14:textId="61145B1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P="008558C9" w14:paraId="544DFEBB" w14:textId="4385FB8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D815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815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:rsidR="006B4A19" w:rsidP="008558C9" w14:paraId="4F322313" w14:textId="1906FD9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:rsidR="006B4A19" w:rsidRPr="00132044" w:rsidP="006B4A19" w14:paraId="51787342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:rsidR="006B4A19" w:rsidRPr="00132044" w:rsidP="008558C9" w14:paraId="14EA7F4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8558C9" w14:paraId="0321612C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P="00C0509E" w14:paraId="3299861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46B8ECAE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59497D2F" w14:textId="77777777" w:rsidTr="00D90391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F5CAA0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60F387B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79AA41A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13A5C37E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1DE1BE02" w14:textId="77777777" w:rsidTr="00D90391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735447B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34F466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134D26C1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11D4703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29BB284A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784305E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E464B1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3C4E77ED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0C05798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4914C17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2637743F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295B917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8E78DC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06A6A88D" w14:textId="77777777" w:rsidTr="005357E2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873640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5357E2" w14:paraId="3DD099B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132044" w:rsidP="008558C9" w14:paraId="429CE83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18863CC9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D815DF" w:rsidP="00247238" w14:paraId="70D6AF94" w14:textId="6E36D57A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국가 식품약품 감독관리총국,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:rsidR="006B4A19" w:rsidRPr="00D815DF" w:rsidP="00247238" w14:paraId="771AA252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국가 식품약품 감독관리총국,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원료목록(2021년판)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공고, 2021년 제62호</w:t>
      </w:r>
    </w:p>
    <w:p w:rsidR="006B4A19" w:rsidRPr="007B19C4" w:rsidP="00247238" w14:paraId="53D210CF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EPA, 2008. United States Environmental Protection Agency. Child Specific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Exposure Factors Handbook. Chapter 8 – Body Weight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Table 17</w:t>
      </w:r>
    </w:p>
    <w:p w:rsidR="006B4A19" w:rsidRPr="007B19C4" w:rsidP="00247238" w14:paraId="3CDBBA21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EPA, 2008. United States Environmental Protection Agency. Child Specific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Exposure Factors Handbook. Chapter 8 – Body Weight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Table 8-1</w:t>
      </w:r>
    </w:p>
    <w:p w:rsidR="006B4A19" w:rsidRPr="007B19C4" w:rsidP="00247238" w14:paraId="5480512A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Glycerin as Used in Cosmetics. International Journal of Toxicology, 2019, 38(Suppl. 3): 6-22</w:t>
      </w:r>
    </w:p>
    <w:p w:rsidR="006B4A19" w:rsidRPr="007B19C4" w:rsidP="00247238" w14:paraId="59B6958B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Alkyl Esters as Used in Cosmetics. International Journal of Toxicology, 2015, 34(Suppl. 2): 5-69</w:t>
      </w:r>
    </w:p>
    <w:p w:rsidR="006B4A19" w:rsidRPr="007B19C4" w:rsidP="00247238" w14:paraId="4C93D4CE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Simmondsia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Chinensis (Jojoba) Seed Oil,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Simmondsia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Chinensis (Jojoba) Seed Wax, Hydrogenated Jojoba Oil, Hydrolyzed Jojoba Esters, Isomerized Jojoba Oil, Jojoba Esters,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Simmondsia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Chinensis (Jojoba) Butter, Jojoba Alcohol, and Synthetic Jojoba Oil. Final Report 09/2008 Available from CIR</w:t>
      </w:r>
    </w:p>
    <w:p w:rsidR="006B4A19" w:rsidRPr="007B19C4" w:rsidP="00247238" w14:paraId="5E57BE79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Safety Assessment of Plant-Derived Fatty Acid Oils. International Journal of Toxicology, 2017, 36(Suppl. 3): 51-129</w:t>
      </w:r>
    </w:p>
    <w:p w:rsidR="006B4A19" w:rsidRPr="007B19C4" w:rsidP="00247238" w14:paraId="6733076A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Annual Review of Cosmetic Ingredient Safety Assessments: 2005/2006. International Journal of Toxicology, 2008, 27(Suppl. 1): 77-142</w:t>
      </w:r>
    </w:p>
    <w:p w:rsidR="006B4A19" w:rsidRPr="007B19C4" w:rsidP="00247238" w14:paraId="2BB05715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Amended Safety Assessment of Acrylates Copolymers as Used in Cosmetics. Final Report 12/2018 Available from CIR</w:t>
      </w:r>
    </w:p>
    <w:p w:rsidR="006B4A19" w:rsidRPr="007B19C4" w:rsidP="00247238" w14:paraId="270997D9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Hydroxyacetophenone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as Used in Cosmetics. Final Report 09/2022 Available from CIR</w:t>
      </w:r>
    </w:p>
    <w:p w:rsidR="006B4A19" w:rsidRPr="007B19C4" w:rsidP="00247238" w14:paraId="361323CB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1,2-Glycols as Used in Cosmetics. International Journal of Toxicology, 2012, 31(Suppl. 2): 147-168</w:t>
      </w:r>
    </w:p>
    <w:p w:rsidR="006B4A19" w:rsidRPr="007B19C4" w:rsidP="00247238" w14:paraId="1750F2EC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>Centella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asiatica-derived Ingredients as Used in Cosmetics. Final Report 06/2015 Available from CIR</w:t>
      </w:r>
    </w:p>
    <w:p w:rsidR="006B4A19" w:rsidP="00247238" w14:paraId="178408DA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:rsidR="006B4A19" w:rsidRPr="00693E96" w:rsidP="00247238" w14:paraId="3F5440C1" w14:textId="77777777">
      <w:pPr>
        <w:numPr>
          <w:ilvl w:val="0"/>
          <w:numId w:val="12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2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일본 화장품 표준, 일본 후생노동성 고시 제331호(2000년 9월)</w:t>
      </w:r>
    </w:p>
    <w:p w:rsidR="006B4A19" w:rsidRPr="00132044" w:rsidP="006B4A19" w14:paraId="1E44F060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P="00247238" w14:paraId="55C6588F" w14:textId="77777777">
      <w:pPr>
        <w:numPr>
          <w:ilvl w:val="0"/>
          <w:numId w:val="1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미생물과 유해물질 측정 보고서(화장품 등록 검사 보고서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참조), 제품 중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검사보고서(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), 제품 중 잔류농약의 검사 보고서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6B4A19" w:rsidRPr="007B19C4" w:rsidP="00247238" w14:paraId="35403CF1" w14:textId="77777777">
      <w:pPr>
        <w:numPr>
          <w:ilvl w:val="0"/>
          <w:numId w:val="1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위험물질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7B19C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평가 근거</w:t>
      </w:r>
    </w:p>
    <w:p w:rsidR="006B4A19" w:rsidRPr="00117702" w:rsidP="00247238" w14:paraId="7C6EBEF7" w14:textId="77777777">
      <w:pPr>
        <w:numPr>
          <w:ilvl w:val="0"/>
          <w:numId w:val="1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B19C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인체 피부 반점 시험 측정 보고서</w:t>
      </w:r>
    </w:p>
    <w:p w:rsidR="006B4A19" w:rsidRPr="006A6015" w:rsidP="00247238" w14:paraId="3FA10CA1" w14:textId="053CFE4B">
      <w:pPr>
        <w:numPr>
          <w:ilvl w:val="0"/>
          <w:numId w:val="1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A6015" w:rsidP="00247238" w14:paraId="206E62EB" w14:textId="273A6500">
      <w:pPr>
        <w:numPr>
          <w:ilvl w:val="0"/>
          <w:numId w:val="1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A601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C0509E" w:rsidP="00247238" w14:paraId="45D59076" w14:textId="1A1F3B4D">
      <w:pPr>
        <w:widowControl/>
        <w:numPr>
          <w:ilvl w:val="0"/>
          <w:numId w:val="13"/>
        </w:numPr>
        <w:wordWrap/>
        <w:autoSpaceDE/>
        <w:autoSpaceDN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0509E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  <w:r w:rsidRPr="00C0509E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2D13D67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 w:hint="eastAsia"/>
          <w:color w:val="000000"/>
          <w:szCs w:val="20"/>
        </w:rPr>
        <w:t>4</w:t>
      </w:r>
    </w:p>
    <w:p w:rsidR="006B4A19" w:rsidRPr="00F70CD0" w:rsidP="008558C9" w14:paraId="6D172D4E" w14:textId="35DA79E4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70CD0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화장품 방부 효능</w:t>
      </w:r>
      <w:r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F70CD0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평가</w:t>
      </w:r>
      <w:r w:rsidRPr="00F70CD0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결과</w:t>
      </w:r>
    </w:p>
    <w:p w:rsidR="006B4A19" w:rsidRPr="00F70CD0" w:rsidP="00247238" w14:paraId="2D31EB45" w14:textId="73447905">
      <w:pPr>
        <w:numPr>
          <w:ilvl w:val="0"/>
          <w:numId w:val="1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70CD0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 w:rsidRPr="00F70CD0">
        <w:rPr>
          <w:rFonts w:asciiTheme="minorEastAsia" w:hAnsiTheme="minorEastAsia" w:cs="굴림" w:hint="eastAsia"/>
          <w:color w:val="000000"/>
          <w:sz w:val="22"/>
        </w:rPr>
        <w:t>xxxx</w:t>
      </w:r>
      <w:r w:rsidRPr="00F70CD0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645750">
        <w:rPr>
          <w:rFonts w:asciiTheme="minorEastAsia" w:hAnsiTheme="minorEastAsia" w:cs="굴림" w:hint="eastAsia"/>
          <w:color w:val="000000"/>
          <w:sz w:val="22"/>
        </w:rPr>
        <w:t xml:space="preserve">어린이 </w:t>
      </w:r>
      <w:r w:rsidR="00645750">
        <w:rPr>
          <w:rFonts w:asciiTheme="minorEastAsia" w:hAnsiTheme="minorEastAsia" w:cs="굴림" w:hint="eastAsia"/>
          <w:color w:val="000000"/>
          <w:sz w:val="22"/>
        </w:rPr>
        <w:t>페이셜</w:t>
      </w:r>
      <w:r w:rsidR="00645750">
        <w:rPr>
          <w:rFonts w:asciiTheme="minorEastAsia" w:hAnsiTheme="minorEastAsia" w:cs="굴림" w:hint="eastAsia"/>
          <w:color w:val="000000"/>
          <w:sz w:val="22"/>
        </w:rPr>
        <w:t xml:space="preserve"> 크림</w:t>
      </w:r>
    </w:p>
    <w:p w:rsidR="006B4A19" w:rsidRPr="00132044" w:rsidP="00247238" w14:paraId="6F1B7920" w14:textId="51D059DC">
      <w:pPr>
        <w:numPr>
          <w:ilvl w:val="0"/>
          <w:numId w:val="1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8558C9" w14:paraId="0C02B046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5E31136B" w14:textId="3E8A0838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1BC2CD3C" w14:textId="14B0438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1B4836B7" w14:textId="6759F9BE">
      <w:pPr>
        <w:numPr>
          <w:ilvl w:val="0"/>
          <w:numId w:val="1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3C67BBA2" w14:textId="77777777">
      <w:pPr>
        <w:numPr>
          <w:ilvl w:val="0"/>
          <w:numId w:val="1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8558C9" w14:paraId="729615AF" w14:textId="797CE216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:rsidR="006B4A19" w:rsidRPr="00132044" w:rsidP="008558C9" w14:paraId="02CAC0A1" w14:textId="0FF2D51F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:rsidR="006B4A19" w:rsidRPr="00132044" w:rsidP="00247238" w14:paraId="374CA340" w14:textId="14B7E381">
      <w:pPr>
        <w:numPr>
          <w:ilvl w:val="0"/>
          <w:numId w:val="14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121FA206" w14:textId="6409ACA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8558C9" w14:paraId="62978D8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BC6A4A" w:rsidP="008558C9" w14:paraId="6B1C7915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허가인/등록</w:t>
      </w: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 (서명 날인)</w:t>
      </w:r>
    </w:p>
    <w:p w:rsidR="006B4A19" w:rsidRPr="00BC6A4A" w:rsidP="008558C9" w14:paraId="3E5E180F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BC6A4A" w:rsidP="008558C9" w14:paraId="3ACDD3F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BC6A4A" w14:paraId="054A50E7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BC6A4A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BC6A4A" w:rsidP="008558C9" w14:paraId="0F0E660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BC6A4A">
        <w:rPr>
          <w:rFonts w:asciiTheme="minorEastAsia" w:hAnsiTheme="minorEastAsia" w:cs="굴림" w:hint="eastAsia"/>
          <w:color w:val="000000"/>
          <w:szCs w:val="20"/>
        </w:rPr>
        <w:t>부록5</w:t>
      </w:r>
    </w:p>
    <w:p w:rsidR="006B4A19" w:rsidRPr="00BC6A4A" w:rsidP="008558C9" w14:paraId="366D6959" w14:textId="061364D9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BC6A4A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BC6A4A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BC6A4A" w:rsidP="00247238" w14:paraId="1E6F3B66" w14:textId="4864B0E5">
      <w:pPr>
        <w:numPr>
          <w:ilvl w:val="0"/>
          <w:numId w:val="1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C6A4A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BC6A4A">
        <w:rPr>
          <w:rFonts w:asciiTheme="minorEastAsia" w:hAnsiTheme="minorEastAsia" w:cs="굴림"/>
          <w:color w:val="000000"/>
          <w:sz w:val="22"/>
        </w:rPr>
        <w:t xml:space="preserve"> </w:t>
      </w:r>
      <w:r w:rsidRPr="00BC6A4A">
        <w:rPr>
          <w:rFonts w:asciiTheme="minorEastAsia" w:hAnsiTheme="minorEastAsia" w:cs="굴림" w:hint="eastAsia"/>
          <w:color w:val="000000"/>
          <w:sz w:val="22"/>
        </w:rPr>
        <w:t>xxxx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645750">
        <w:rPr>
          <w:rFonts w:asciiTheme="minorEastAsia" w:hAnsiTheme="minorEastAsia" w:cs="굴림" w:hint="eastAsia"/>
          <w:color w:val="000000"/>
          <w:sz w:val="22"/>
        </w:rPr>
        <w:t xml:space="preserve">어린이 </w:t>
      </w:r>
      <w:r w:rsidR="00645750">
        <w:rPr>
          <w:rFonts w:asciiTheme="minorEastAsia" w:hAnsiTheme="minorEastAsia" w:cs="굴림" w:hint="eastAsia"/>
          <w:color w:val="000000"/>
          <w:sz w:val="22"/>
        </w:rPr>
        <w:t>페이셜</w:t>
      </w:r>
      <w:r w:rsidR="00645750">
        <w:rPr>
          <w:rFonts w:asciiTheme="minorEastAsia" w:hAnsiTheme="minorEastAsia" w:cs="굴림" w:hint="eastAsia"/>
          <w:color w:val="000000"/>
          <w:sz w:val="22"/>
        </w:rPr>
        <w:t xml:space="preserve"> 크림</w:t>
      </w:r>
    </w:p>
    <w:p w:rsidR="006B4A19" w:rsidRPr="00BC6A4A" w:rsidP="00247238" w14:paraId="2C467725" w14:textId="76C4A4B6">
      <w:pPr>
        <w:numPr>
          <w:ilvl w:val="0"/>
          <w:numId w:val="1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BC6A4A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BC6A4A">
        <w:rPr>
          <w:rFonts w:asciiTheme="minorEastAsia" w:hAnsiTheme="minorEastAsia" w:cs="굴림"/>
          <w:color w:val="000000"/>
          <w:sz w:val="22"/>
        </w:rPr>
        <w:t xml:space="preserve"> </w:t>
      </w:r>
      <w:r w:rsidRPr="00BC6A4A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BC6A4A" w:rsidP="008558C9" w14:paraId="26559E09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C6A4A">
        <w:rPr>
          <w:rFonts w:ascii="Segoe UI Symbol" w:hAnsi="Segoe UI Symbol" w:cs="Segoe UI Symbol"/>
          <w:color w:val="000000"/>
          <w:sz w:val="22"/>
        </w:rPr>
        <w:t>☐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BC6A4A" w:rsidP="008558C9" w14:paraId="3D9C7FB5" w14:textId="39C8C4C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C6A4A">
        <w:rPr>
          <w:rFonts w:ascii="Segoe UI Symbol" w:hAnsi="Segoe UI Symbol" w:cs="Segoe UI Symbol"/>
          <w:color w:val="000000"/>
          <w:sz w:val="22"/>
        </w:rPr>
        <w:t>☐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BC6A4A" w:rsidP="008558C9" w14:paraId="37DC24B0" w14:textId="50060872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C6A4A">
        <w:rPr>
          <w:rFonts w:ascii="Segoe UI Symbol" w:hAnsi="Segoe UI Symbol" w:cs="Segoe UI Symbol"/>
          <w:color w:val="000000"/>
          <w:sz w:val="22"/>
        </w:rPr>
        <w:t>☐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BC6A4A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BC6A4A" w:rsidP="00247238" w14:paraId="137836ED" w14:textId="3CF018D1">
      <w:pPr>
        <w:numPr>
          <w:ilvl w:val="0"/>
          <w:numId w:val="1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BC6A4A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BC6A4A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BC6A4A" w:rsidP="00247238" w14:paraId="05DFE46A" w14:textId="3AAA0242">
      <w:pPr>
        <w:numPr>
          <w:ilvl w:val="0"/>
          <w:numId w:val="1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C6A4A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BC6A4A" w:rsidP="00247238" w14:paraId="794A6077" w14:textId="1A1BC755">
      <w:pPr>
        <w:numPr>
          <w:ilvl w:val="0"/>
          <w:numId w:val="15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BC6A4A" w:rsidP="008558C9" w14:paraId="3563AAA5" w14:textId="0B9AB94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BC6A4A" w:rsidP="008558C9" w14:paraId="4B9647B2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BC6A4A" w:rsidP="008558C9" w14:paraId="5F4943A4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허가인/등록</w:t>
      </w: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 (서명 날인)</w:t>
      </w:r>
    </w:p>
    <w:p w:rsidR="006B4A19" w:rsidRPr="00132044" w:rsidP="008558C9" w14:paraId="18B4CB77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6AEE4262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5175A59B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BC6A4A" w:rsidP="008558C9" w14:paraId="295F1CD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BC6A4A">
        <w:rPr>
          <w:rFonts w:asciiTheme="minorEastAsia" w:hAnsiTheme="minorEastAsia" w:cs="굴림" w:hint="eastAsia"/>
          <w:color w:val="000000"/>
          <w:szCs w:val="20"/>
        </w:rPr>
        <w:t>부록6</w:t>
      </w:r>
    </w:p>
    <w:p w:rsidR="006B4A19" w:rsidRPr="00BC6A4A" w:rsidP="008558C9" w14:paraId="40E1AB9C" w14:textId="07CA8ACC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BC6A4A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BC6A4A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BC6A4A" w:rsidP="00247238" w14:paraId="2C815B29" w14:textId="79A1E74A">
      <w:pPr>
        <w:numPr>
          <w:ilvl w:val="0"/>
          <w:numId w:val="1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C6A4A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BC6A4A">
        <w:rPr>
          <w:rFonts w:asciiTheme="minorEastAsia" w:hAnsiTheme="minorEastAsia" w:cs="굴림"/>
          <w:color w:val="000000"/>
          <w:sz w:val="22"/>
        </w:rPr>
        <w:t xml:space="preserve"> </w:t>
      </w:r>
      <w:r w:rsidRPr="00BC6A4A">
        <w:rPr>
          <w:rFonts w:asciiTheme="minorEastAsia" w:hAnsiTheme="minorEastAsia" w:cs="굴림" w:hint="eastAsia"/>
          <w:color w:val="000000"/>
          <w:sz w:val="22"/>
        </w:rPr>
        <w:t>xxxx</w:t>
      </w:r>
      <w:r w:rsidRPr="00BC6A4A">
        <w:rPr>
          <w:rFonts w:asciiTheme="minorEastAsia" w:hAnsiTheme="minorEastAsia" w:cs="굴림" w:hint="eastAsia"/>
          <w:color w:val="000000"/>
          <w:sz w:val="22"/>
        </w:rPr>
        <w:t xml:space="preserve"> </w:t>
      </w:r>
      <w:r w:rsidR="00645750">
        <w:rPr>
          <w:rFonts w:asciiTheme="minorEastAsia" w:hAnsiTheme="minorEastAsia" w:cs="굴림" w:hint="eastAsia"/>
          <w:color w:val="000000"/>
          <w:sz w:val="22"/>
        </w:rPr>
        <w:t xml:space="preserve">어린이 </w:t>
      </w:r>
      <w:r w:rsidR="00645750">
        <w:rPr>
          <w:rFonts w:asciiTheme="minorEastAsia" w:hAnsiTheme="minorEastAsia" w:cs="굴림" w:hint="eastAsia"/>
          <w:color w:val="000000"/>
          <w:sz w:val="22"/>
        </w:rPr>
        <w:t>페이셜</w:t>
      </w:r>
      <w:r w:rsidR="00645750">
        <w:rPr>
          <w:rFonts w:asciiTheme="minorEastAsia" w:hAnsiTheme="minorEastAsia" w:cs="굴림" w:hint="eastAsia"/>
          <w:color w:val="000000"/>
          <w:sz w:val="22"/>
        </w:rPr>
        <w:t xml:space="preserve"> 크림</w:t>
      </w:r>
    </w:p>
    <w:p w:rsidR="006B4A19" w:rsidRPr="00132044" w:rsidP="00247238" w14:paraId="7993056A" w14:textId="01F637AF">
      <w:pPr>
        <w:numPr>
          <w:ilvl w:val="0"/>
          <w:numId w:val="1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1843A554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762A37B1" w14:textId="1BB43F19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4CA779A3" w14:textId="252EE025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4FF23143" w14:textId="345B08C5">
      <w:pPr>
        <w:numPr>
          <w:ilvl w:val="0"/>
          <w:numId w:val="1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1958C962" w14:textId="2AA6F4A9">
      <w:pPr>
        <w:numPr>
          <w:ilvl w:val="0"/>
          <w:numId w:val="1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247238" w14:paraId="7E32799B" w14:textId="379DC21B">
      <w:pPr>
        <w:numPr>
          <w:ilvl w:val="0"/>
          <w:numId w:val="16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71703AAC" w14:textId="5025E1AD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8558C9" w14:paraId="7987D2FD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AB63383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화장품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허가인/등록</w:t>
      </w:r>
      <w:r w:rsidRPr="00BC6A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6AE30F5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23CF716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683DD09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E94F4C" w:rsidP="008558C9" w14:paraId="1721252A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pgNumType w:start="17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